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3B3CA0FD" w:rsidR="00CD4C7B" w:rsidRPr="00CB5EE9" w:rsidRDefault="003A41EF" w:rsidP="4E4B92F2">
      <w:pPr>
        <w:pStyle w:val="Header"/>
        <w:tabs>
          <w:tab w:val="right" w:pos="9639"/>
        </w:tabs>
        <w:rPr>
          <w:i/>
          <w:iCs/>
          <w:noProof w:val="0"/>
          <w:sz w:val="24"/>
          <w:szCs w:val="24"/>
          <w:lang w:val="en-US"/>
        </w:rPr>
      </w:pPr>
      <w:r w:rsidRPr="4E4B92F2">
        <w:rPr>
          <w:noProof w:val="0"/>
          <w:sz w:val="24"/>
          <w:szCs w:val="24"/>
          <w:lang w:val="en-US"/>
        </w:rPr>
        <w:t xml:space="preserve">3GPP TSG-RAN WG2 Meeting </w:t>
      </w:r>
      <w:r w:rsidR="00F941DF" w:rsidRPr="4E4B92F2">
        <w:rPr>
          <w:noProof w:val="0"/>
          <w:sz w:val="24"/>
          <w:szCs w:val="24"/>
          <w:lang w:val="en-US"/>
        </w:rPr>
        <w:t>#</w:t>
      </w:r>
      <w:r w:rsidR="007C2DD0" w:rsidRPr="4E4B92F2">
        <w:rPr>
          <w:noProof w:val="0"/>
          <w:sz w:val="24"/>
          <w:szCs w:val="24"/>
          <w:lang w:val="en-US"/>
        </w:rPr>
        <w:t>103</w:t>
      </w:r>
      <w:r w:rsidR="008F396F" w:rsidRPr="4E4B92F2">
        <w:rPr>
          <w:noProof w:val="0"/>
          <w:sz w:val="24"/>
          <w:szCs w:val="24"/>
          <w:lang w:val="en-US"/>
        </w:rPr>
        <w:t>bis</w:t>
      </w:r>
      <w:r w:rsidR="00CD4C7B" w:rsidRPr="00CB5EE9">
        <w:rPr>
          <w:bCs/>
          <w:noProof w:val="0"/>
          <w:sz w:val="24"/>
          <w:szCs w:val="24"/>
          <w:lang w:val="en-US"/>
        </w:rPr>
        <w:tab/>
      </w:r>
      <w:r w:rsidR="008F0504" w:rsidRPr="008F0504">
        <w:rPr>
          <w:noProof w:val="0"/>
          <w:sz w:val="24"/>
          <w:szCs w:val="24"/>
          <w:lang w:val="en-US"/>
        </w:rPr>
        <w:t>R2-1814995</w:t>
      </w:r>
    </w:p>
    <w:p w14:paraId="231362B2" w14:textId="75D4A703" w:rsidR="00CD4C7B" w:rsidRPr="00CB5EE9" w:rsidRDefault="008F396F" w:rsidP="4E4B92F2">
      <w:pPr>
        <w:pStyle w:val="Header"/>
        <w:tabs>
          <w:tab w:val="right" w:pos="9639"/>
        </w:tabs>
        <w:rPr>
          <w:noProof w:val="0"/>
          <w:sz w:val="24"/>
          <w:szCs w:val="24"/>
          <w:lang w:val="en-US"/>
        </w:rPr>
      </w:pPr>
      <w:r w:rsidRPr="00CB5EE9">
        <w:rPr>
          <w:rFonts w:eastAsia="SimSun"/>
          <w:noProof w:val="0"/>
          <w:sz w:val="24"/>
          <w:szCs w:val="24"/>
          <w:lang w:val="en-US" w:eastAsia="zh-CN"/>
        </w:rPr>
        <w:t>Chengdu, China, 08 - 12 October 2018</w:t>
      </w:r>
      <w:r w:rsidR="00364B41" w:rsidRPr="00CB5EE9">
        <w:rPr>
          <w:rFonts w:eastAsia="SimSun"/>
          <w:noProof w:val="0"/>
          <w:sz w:val="24"/>
          <w:szCs w:val="24"/>
          <w:lang w:val="en-US" w:eastAsia="zh-CN"/>
        </w:rPr>
        <w:tab/>
      </w:r>
    </w:p>
    <w:p w14:paraId="39BE00F6" w14:textId="77777777" w:rsidR="00CD4C7B" w:rsidRPr="00CB5EE9" w:rsidRDefault="00CD4C7B" w:rsidP="00CD4C7B">
      <w:pPr>
        <w:pStyle w:val="Header"/>
        <w:rPr>
          <w:bCs/>
          <w:noProof w:val="0"/>
          <w:sz w:val="24"/>
          <w:lang w:val="en-US"/>
        </w:rPr>
      </w:pPr>
    </w:p>
    <w:p w14:paraId="49379CFB" w14:textId="77777777" w:rsidR="00CD4C7B" w:rsidRPr="00CB5EE9" w:rsidRDefault="00CD4C7B" w:rsidP="00CD4C7B">
      <w:pPr>
        <w:pStyle w:val="Header"/>
        <w:rPr>
          <w:bCs/>
          <w:noProof w:val="0"/>
          <w:sz w:val="24"/>
          <w:lang w:val="en-US"/>
        </w:rPr>
      </w:pPr>
    </w:p>
    <w:p w14:paraId="758E2B30" w14:textId="02FB7A2A" w:rsidR="00CD4C7B" w:rsidRPr="00CB5EE9" w:rsidRDefault="00CD4C7B" w:rsidP="022CF823">
      <w:pPr>
        <w:pStyle w:val="CRCoverPage"/>
        <w:tabs>
          <w:tab w:val="left" w:pos="1985"/>
        </w:tabs>
        <w:rPr>
          <w:rFonts w:cs="Arial"/>
          <w:b/>
          <w:bCs/>
          <w:sz w:val="24"/>
          <w:szCs w:val="24"/>
          <w:lang w:val="en-US" w:eastAsia="ja-JP"/>
        </w:rPr>
      </w:pPr>
      <w:r w:rsidRPr="4E4B92F2">
        <w:rPr>
          <w:rFonts w:cs="Arial"/>
          <w:b/>
          <w:bCs/>
          <w:sz w:val="24"/>
          <w:szCs w:val="24"/>
          <w:lang w:val="en-US"/>
        </w:rPr>
        <w:t>Agenda item:</w:t>
      </w:r>
      <w:r w:rsidRPr="00CB5EE9">
        <w:rPr>
          <w:rFonts w:cs="Arial"/>
          <w:b/>
          <w:bCs/>
          <w:sz w:val="24"/>
          <w:lang w:val="en-US"/>
        </w:rPr>
        <w:tab/>
      </w:r>
      <w:r w:rsidR="008E5536">
        <w:rPr>
          <w:rFonts w:cs="Arial"/>
          <w:b/>
          <w:bCs/>
          <w:sz w:val="24"/>
          <w:szCs w:val="24"/>
          <w:lang w:val="en-US" w:eastAsia="ja-JP"/>
        </w:rPr>
        <w:t>11</w:t>
      </w:r>
      <w:r w:rsidR="002747EC" w:rsidRPr="4E4B92F2">
        <w:rPr>
          <w:rFonts w:cs="Arial"/>
          <w:b/>
          <w:bCs/>
          <w:sz w:val="24"/>
          <w:szCs w:val="24"/>
          <w:lang w:val="en-US" w:eastAsia="ja-JP"/>
        </w:rPr>
        <w:t>.</w:t>
      </w:r>
      <w:r w:rsidR="008E5536">
        <w:rPr>
          <w:rFonts w:cs="Arial"/>
          <w:b/>
          <w:bCs/>
          <w:sz w:val="24"/>
          <w:szCs w:val="24"/>
          <w:lang w:val="en-US" w:eastAsia="ja-JP"/>
        </w:rPr>
        <w:t>7</w:t>
      </w:r>
      <w:r w:rsidR="002747EC" w:rsidRPr="4E4B92F2">
        <w:rPr>
          <w:rFonts w:cs="Arial"/>
          <w:b/>
          <w:bCs/>
          <w:sz w:val="24"/>
          <w:szCs w:val="24"/>
          <w:lang w:val="en-US" w:eastAsia="ja-JP"/>
        </w:rPr>
        <w:t>.</w:t>
      </w:r>
      <w:r w:rsidR="008E5536">
        <w:rPr>
          <w:rFonts w:cs="Arial"/>
          <w:b/>
          <w:bCs/>
          <w:sz w:val="24"/>
          <w:szCs w:val="24"/>
          <w:lang w:val="en-US" w:eastAsia="ja-JP"/>
        </w:rPr>
        <w:t>2</w:t>
      </w:r>
    </w:p>
    <w:p w14:paraId="6A1BC0C1" w14:textId="0B7E6B2C" w:rsidR="00CD4C7B" w:rsidRPr="00CB5EE9" w:rsidRDefault="00CD4C7B" w:rsidP="022CF823">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740E5" w:rsidRPr="4E4B92F2">
        <w:rPr>
          <w:rFonts w:ascii="Arial" w:hAnsi="Arial" w:cs="Arial"/>
          <w:b/>
          <w:bCs/>
          <w:sz w:val="24"/>
          <w:szCs w:val="24"/>
          <w:lang w:val="en-US"/>
        </w:rPr>
        <w:t>Nokia, Nokia Shanghai Bell</w:t>
      </w:r>
    </w:p>
    <w:p w14:paraId="45BE90BE" w14:textId="251BB3EC" w:rsidR="00CD4C7B" w:rsidRPr="00CB5EE9" w:rsidRDefault="00CD4C7B" w:rsidP="022CF823">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8E5536">
        <w:rPr>
          <w:rFonts w:ascii="Arial" w:hAnsi="Arial" w:cs="Arial"/>
          <w:b/>
          <w:bCs/>
          <w:sz w:val="24"/>
          <w:lang w:val="en-US"/>
        </w:rPr>
        <w:t>Scenarios for i</w:t>
      </w:r>
      <w:r w:rsidR="00AD0184" w:rsidRPr="4E4B92F2">
        <w:rPr>
          <w:rFonts w:ascii="Arial" w:hAnsi="Arial" w:cs="Arial"/>
          <w:b/>
          <w:bCs/>
          <w:sz w:val="24"/>
          <w:szCs w:val="24"/>
          <w:lang w:val="en-US"/>
        </w:rPr>
        <w:t>ntra-UE prioritization/multiplexing</w:t>
      </w:r>
    </w:p>
    <w:p w14:paraId="3AC3A0B1" w14:textId="204AAC7C" w:rsidR="00CD4C7B" w:rsidRPr="00CB5EE9" w:rsidRDefault="00CD4C7B" w:rsidP="022CF823">
      <w:pPr>
        <w:ind w:left="1985" w:hanging="1985"/>
        <w:rPr>
          <w:rFonts w:ascii="Arial" w:hAnsi="Arial" w:cs="Arial"/>
          <w:b/>
          <w:bCs/>
          <w:sz w:val="24"/>
          <w:szCs w:val="24"/>
          <w:lang w:val="en-US"/>
        </w:rPr>
      </w:pPr>
      <w:r w:rsidRPr="4E4B92F2">
        <w:rPr>
          <w:rFonts w:ascii="Arial" w:hAnsi="Arial" w:cs="Arial"/>
          <w:b/>
          <w:bCs/>
          <w:sz w:val="24"/>
          <w:szCs w:val="24"/>
          <w:lang w:val="en-US"/>
        </w:rPr>
        <w:t>WID/SID:</w:t>
      </w:r>
      <w:r w:rsidRPr="00CB5EE9">
        <w:rPr>
          <w:rFonts w:ascii="Arial" w:hAnsi="Arial" w:cs="Arial"/>
          <w:b/>
          <w:bCs/>
          <w:sz w:val="24"/>
          <w:lang w:val="en-US"/>
        </w:rPr>
        <w:tab/>
      </w:r>
      <w:r w:rsidR="00AA6F5F" w:rsidRPr="4E4B92F2">
        <w:rPr>
          <w:rFonts w:ascii="Arial" w:hAnsi="Arial" w:cs="Arial"/>
          <w:b/>
          <w:bCs/>
          <w:sz w:val="24"/>
          <w:szCs w:val="24"/>
          <w:lang w:val="en-US"/>
        </w:rPr>
        <w:t>FS_NR_IIOT</w:t>
      </w:r>
      <w:r w:rsidR="00112F1A" w:rsidRPr="4E4B92F2">
        <w:rPr>
          <w:rFonts w:ascii="Arial" w:hAnsi="Arial" w:cs="Arial"/>
          <w:b/>
          <w:bCs/>
          <w:sz w:val="24"/>
          <w:szCs w:val="24"/>
          <w:lang w:val="en-US"/>
        </w:rPr>
        <w:t xml:space="preserve"> </w:t>
      </w:r>
      <w:r w:rsidR="00D80795" w:rsidRPr="4E4B92F2">
        <w:rPr>
          <w:rFonts w:ascii="Arial" w:hAnsi="Arial" w:cs="Arial"/>
          <w:b/>
          <w:bCs/>
          <w:sz w:val="24"/>
          <w:szCs w:val="24"/>
          <w:lang w:val="en-US"/>
        </w:rPr>
        <w:t>-</w:t>
      </w:r>
      <w:r w:rsidRPr="4E4B92F2">
        <w:rPr>
          <w:rFonts w:ascii="Arial" w:hAnsi="Arial" w:cs="Arial"/>
          <w:b/>
          <w:bCs/>
          <w:sz w:val="24"/>
          <w:szCs w:val="24"/>
          <w:lang w:val="en-US"/>
        </w:rPr>
        <w:t xml:space="preserve"> Release</w:t>
      </w:r>
      <w:r w:rsidR="00D80795" w:rsidRPr="4E4B92F2">
        <w:rPr>
          <w:rFonts w:ascii="Arial" w:hAnsi="Arial" w:cs="Arial"/>
          <w:b/>
          <w:bCs/>
          <w:sz w:val="24"/>
          <w:szCs w:val="24"/>
          <w:lang w:val="en-US"/>
        </w:rPr>
        <w:t xml:space="preserve"> </w:t>
      </w:r>
      <w:r w:rsidR="00AA6F5F" w:rsidRPr="4E4B92F2">
        <w:rPr>
          <w:rFonts w:ascii="Arial" w:hAnsi="Arial" w:cs="Arial"/>
          <w:b/>
          <w:bCs/>
          <w:sz w:val="24"/>
          <w:szCs w:val="24"/>
          <w:lang w:val="en-US"/>
        </w:rPr>
        <w:t>16</w:t>
      </w:r>
    </w:p>
    <w:p w14:paraId="7DF86DB4" w14:textId="77777777" w:rsidR="00CD4C7B" w:rsidRPr="00CB5EE9" w:rsidRDefault="00CD4C7B" w:rsidP="022CF823">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 and Decision</w:t>
      </w:r>
    </w:p>
    <w:p w14:paraId="3E959691" w14:textId="77777777" w:rsidR="00CD4C7B" w:rsidRPr="00CB5EE9" w:rsidRDefault="00CD4C7B" w:rsidP="4E4B92F2">
      <w:pPr>
        <w:pStyle w:val="Heading1"/>
        <w:rPr>
          <w:lang w:val="en-US"/>
        </w:rPr>
      </w:pPr>
      <w:r w:rsidRPr="00CB5EE9">
        <w:rPr>
          <w:lang w:val="en-US"/>
        </w:rPr>
        <w:t>1</w:t>
      </w:r>
      <w:r w:rsidRPr="00CB5EE9">
        <w:rPr>
          <w:lang w:val="en-US"/>
        </w:rPr>
        <w:tab/>
      </w:r>
      <w:r w:rsidR="0056573F" w:rsidRPr="00CB5EE9">
        <w:rPr>
          <w:lang w:val="en-US"/>
        </w:rPr>
        <w:t>Introduction</w:t>
      </w:r>
    </w:p>
    <w:p w14:paraId="4B512A7A" w14:textId="085193FF" w:rsidR="00926F15" w:rsidRPr="00CB5EE9" w:rsidRDefault="4E4B92F2" w:rsidP="4E4B92F2">
      <w:pPr>
        <w:rPr>
          <w:lang w:val="en-US"/>
        </w:rPr>
      </w:pPr>
      <w:r w:rsidRPr="4E4B92F2">
        <w:rPr>
          <w:lang w:val="en-US"/>
        </w:rPr>
        <w:t>One of the objectives of the study on NR Industrial IoT [1] is:</w:t>
      </w:r>
    </w:p>
    <w:tbl>
      <w:tblPr>
        <w:tblStyle w:val="TableGrid"/>
        <w:tblW w:w="0" w:type="auto"/>
        <w:tblLook w:val="04A0" w:firstRow="1" w:lastRow="0" w:firstColumn="1" w:lastColumn="0" w:noHBand="0" w:noVBand="1"/>
      </w:tblPr>
      <w:tblGrid>
        <w:gridCol w:w="9631"/>
      </w:tblGrid>
      <w:tr w:rsidR="00926F15" w14:paraId="0FE188B1" w14:textId="77777777" w:rsidTr="022CF823">
        <w:tc>
          <w:tcPr>
            <w:tcW w:w="9631" w:type="dxa"/>
          </w:tcPr>
          <w:p w14:paraId="5A45B39C" w14:textId="77777777" w:rsidR="00926F15" w:rsidRPr="00CB5EE9" w:rsidRDefault="4E4B92F2" w:rsidP="4E4B92F2">
            <w:pPr>
              <w:numPr>
                <w:ilvl w:val="1"/>
                <w:numId w:val="5"/>
              </w:numPr>
              <w:overflowPunct w:val="0"/>
              <w:autoSpaceDE w:val="0"/>
              <w:autoSpaceDN w:val="0"/>
              <w:adjustRightInd w:val="0"/>
              <w:spacing w:after="0"/>
              <w:jc w:val="both"/>
              <w:textAlignment w:val="baseline"/>
              <w:rPr>
                <w:lang w:val="en-US"/>
              </w:rPr>
            </w:pPr>
            <w:bookmarkStart w:id="0" w:name="_Hlk523733459"/>
            <w:bookmarkStart w:id="1" w:name="_Hlk524612594"/>
            <w:r w:rsidRPr="4E4B92F2">
              <w:rPr>
                <w:lang w:val="en-US"/>
              </w:rPr>
              <w:t>UL/DL intra-UE prioritization/multiplexing, i.e. prioritization (for example dropping, delaying or puncturing lower priority service) between different categories of traffic in the UE, including both data and control channels and considering (RAN2/RAN1):</w:t>
            </w:r>
            <w:bookmarkEnd w:id="0"/>
          </w:p>
          <w:p w14:paraId="3F084230" w14:textId="77777777" w:rsidR="00926F15" w:rsidRPr="00CB5EE9" w:rsidRDefault="4E4B92F2" w:rsidP="4E4B92F2">
            <w:pPr>
              <w:numPr>
                <w:ilvl w:val="2"/>
                <w:numId w:val="5"/>
              </w:numPr>
              <w:overflowPunct w:val="0"/>
              <w:autoSpaceDE w:val="0"/>
              <w:autoSpaceDN w:val="0"/>
              <w:adjustRightInd w:val="0"/>
              <w:spacing w:after="0"/>
              <w:jc w:val="both"/>
              <w:textAlignment w:val="baseline"/>
              <w:rPr>
                <w:lang w:val="en-US"/>
              </w:rPr>
            </w:pPr>
            <w:r w:rsidRPr="4E4B92F2">
              <w:rPr>
                <w:lang w:val="en-US"/>
              </w:rPr>
              <w:t>different latency and reliability requirements</w:t>
            </w:r>
          </w:p>
          <w:p w14:paraId="3ADFEF19" w14:textId="77777777" w:rsidR="00926F15" w:rsidRPr="00CB5EE9" w:rsidRDefault="4E4B92F2" w:rsidP="4E4B92F2">
            <w:pPr>
              <w:numPr>
                <w:ilvl w:val="2"/>
                <w:numId w:val="5"/>
              </w:numPr>
              <w:overflowPunct w:val="0"/>
              <w:autoSpaceDE w:val="0"/>
              <w:autoSpaceDN w:val="0"/>
              <w:adjustRightInd w:val="0"/>
              <w:spacing w:after="0"/>
              <w:jc w:val="both"/>
              <w:textAlignment w:val="baseline"/>
              <w:rPr>
                <w:lang w:val="en-US"/>
              </w:rPr>
            </w:pPr>
            <w:r w:rsidRPr="4E4B92F2">
              <w:rPr>
                <w:lang w:val="en-US"/>
              </w:rPr>
              <w:t>Different types of resource allocation for example grant-free and grant-based allocations</w:t>
            </w:r>
          </w:p>
          <w:bookmarkEnd w:id="1"/>
          <w:p w14:paraId="78E54DAB" w14:textId="371965C7" w:rsidR="00926F15" w:rsidRPr="00926F15" w:rsidRDefault="022CF823" w:rsidP="022CF823">
            <w:pPr>
              <w:spacing w:after="0"/>
              <w:ind w:firstLine="720"/>
              <w:rPr>
                <w:lang w:val="en-US"/>
              </w:rPr>
            </w:pPr>
            <w:r w:rsidRPr="022CF823">
              <w:rPr>
                <w:lang w:val="en-US"/>
              </w:rPr>
              <w:t>Note: RAN2 to start the work, RAN1 to take action based on RAN2 progress.</w:t>
            </w:r>
          </w:p>
        </w:tc>
      </w:tr>
    </w:tbl>
    <w:p w14:paraId="4B247CF1" w14:textId="77777777" w:rsidR="00926F15" w:rsidRDefault="00926F15" w:rsidP="006A40DE">
      <w:pPr>
        <w:rPr>
          <w:lang w:val="en-US"/>
        </w:rPr>
      </w:pPr>
    </w:p>
    <w:p w14:paraId="2A76ABBA" w14:textId="2E078FCA" w:rsidR="00926F15" w:rsidRPr="00CB5EE9" w:rsidRDefault="4E4B92F2" w:rsidP="4E4B92F2">
      <w:pPr>
        <w:rPr>
          <w:lang w:val="en-US"/>
        </w:rPr>
      </w:pPr>
      <w:r w:rsidRPr="4E4B92F2">
        <w:rPr>
          <w:lang w:val="en-US"/>
        </w:rPr>
        <w:t>As can be concluded from the discussions, which took place during the scope refinement of this SI, the impacts on PHY layer are rather inevitable if the goal of this objective is to be met. This paper discusses the scenarios for UL and DL intra-UE prioritization with a focus on identifying potential impacts on PHY layer and areas where RAN1 work is required.</w:t>
      </w:r>
    </w:p>
    <w:p w14:paraId="127ACA6D" w14:textId="0BB9CD34" w:rsidR="00CD4C7B" w:rsidRPr="00CB5EE9" w:rsidRDefault="00CD4C7B" w:rsidP="4E4B92F2">
      <w:pPr>
        <w:pStyle w:val="Heading1"/>
        <w:rPr>
          <w:lang w:val="en-US"/>
        </w:rPr>
      </w:pPr>
      <w:r w:rsidRPr="00CB5EE9">
        <w:rPr>
          <w:lang w:val="en-US"/>
        </w:rPr>
        <w:t>2</w:t>
      </w:r>
      <w:r w:rsidRPr="00CB5EE9">
        <w:rPr>
          <w:lang w:val="en-US"/>
        </w:rPr>
        <w:tab/>
      </w:r>
      <w:r w:rsidR="00CE159E">
        <w:rPr>
          <w:lang w:val="en-US"/>
        </w:rPr>
        <w:t>Intra-UE downlink prioritization</w:t>
      </w:r>
    </w:p>
    <w:p w14:paraId="2A386353" w14:textId="3E1E091F" w:rsidR="00665BE2" w:rsidRDefault="022CF823" w:rsidP="002E40B7">
      <w:r>
        <w:t>In Rel-15, DL-pre-emption was specified for NR allowing gNB to puncture an ongoing PDSCH transmission with another PDSCH transmission by scheduling the latter in the same resources where the first PDSCH transmission was ongoing. This functionality was developed mainly as a means for a gNB to schedule URLLC traffic belonging to one UE in the resources being utilized currently by another UE for reception of PDSCH associated with a lower priority service (e.g. eMBB). On the other hand, in case UE is monitoring PDCCH for URLLC while receiving PDSCH for eMBB, it could be also used as an indication for this UE to stop receiving current PDSCH transmission and receive according to a new grant instead. The overall principle is presented in Figure 1.</w:t>
      </w:r>
    </w:p>
    <w:p w14:paraId="5813C7C4" w14:textId="3A1471EC" w:rsidR="00665BE2" w:rsidRDefault="00C65D12" w:rsidP="00183485">
      <w:pPr>
        <w:jc w:val="center"/>
      </w:pPr>
      <w:r>
        <w:object w:dxaOrig="4429" w:dyaOrig="2701" w14:anchorId="08257D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65pt;height:179.05pt" o:ole="">
            <v:imagedata r:id="rId13" o:title=""/>
          </v:shape>
          <o:OLEObject Type="Embed" ProgID="Visio.Drawing.11" ShapeID="_x0000_i1025" DrawAspect="Content" ObjectID="_1599599439" r:id="rId14"/>
        </w:object>
      </w:r>
    </w:p>
    <w:p w14:paraId="2BD89DAE" w14:textId="2150B485" w:rsidR="00183485" w:rsidRDefault="4E4B92F2" w:rsidP="00183485">
      <w:pPr>
        <w:pStyle w:val="TF"/>
      </w:pPr>
      <w:r>
        <w:t>Figure 1. Intra-UE downlink pre-emption principle</w:t>
      </w:r>
    </w:p>
    <w:p w14:paraId="302A0605" w14:textId="389C141F" w:rsidR="00183485" w:rsidRDefault="4E4B92F2" w:rsidP="00183485">
      <w:pPr>
        <w:pStyle w:val="NO"/>
        <w:ind w:left="0" w:firstLine="0"/>
      </w:pPr>
      <w:r>
        <w:lastRenderedPageBreak/>
        <w:t>Although the overall principle could be reused from Rel-15, there still might be some issues to be resolved, e.g. pre-emption indication might not be required, clarification of UE behaviour when receiving overlapping grants etc. This discussion should take place in RAN1 though as they are the ones who developed inter-UE pre-emption, which would be reused to a large extent.</w:t>
      </w:r>
    </w:p>
    <w:p w14:paraId="56BCCA98" w14:textId="0784B470" w:rsidR="000E2D8D" w:rsidRDefault="4E4B92F2" w:rsidP="4E4B92F2">
      <w:pPr>
        <w:pStyle w:val="NO"/>
        <w:ind w:left="0" w:firstLine="0"/>
        <w:rPr>
          <w:b/>
          <w:bCs/>
        </w:rPr>
      </w:pPr>
      <w:r w:rsidRPr="4E4B92F2">
        <w:rPr>
          <w:b/>
          <w:bCs/>
        </w:rPr>
        <w:t>Observation 1: DL pre-emption developed in Rel-15 for inter-UE prioritization could be reused for intra-UE DL prioritization. RAN1 should discuss the details of this solution.</w:t>
      </w:r>
    </w:p>
    <w:p w14:paraId="0A050F7E" w14:textId="4EB78E58" w:rsidR="000E2D8D" w:rsidRPr="00CB5EE9" w:rsidRDefault="000E2D8D" w:rsidP="4E4B92F2">
      <w:pPr>
        <w:pStyle w:val="Heading1"/>
        <w:rPr>
          <w:lang w:val="en-US"/>
        </w:rPr>
      </w:pPr>
      <w:r>
        <w:rPr>
          <w:lang w:val="en-US"/>
        </w:rPr>
        <w:t>3</w:t>
      </w:r>
      <w:r w:rsidRPr="00CB5EE9">
        <w:rPr>
          <w:lang w:val="en-US"/>
        </w:rPr>
        <w:tab/>
      </w:r>
      <w:r>
        <w:rPr>
          <w:lang w:val="en-US"/>
        </w:rPr>
        <w:t>Intra-UE uplink prioritization</w:t>
      </w:r>
    </w:p>
    <w:p w14:paraId="090ACEA3" w14:textId="19DD5D0C" w:rsidR="000E2D8D" w:rsidRDefault="022CF823" w:rsidP="022CF823">
      <w:pPr>
        <w:pStyle w:val="NO"/>
        <w:ind w:left="0" w:firstLine="0"/>
        <w:rPr>
          <w:lang w:val="en-US"/>
        </w:rPr>
      </w:pPr>
      <w:r w:rsidRPr="022CF823">
        <w:rPr>
          <w:lang w:val="en-US"/>
        </w:rPr>
        <w:t>When it comes to intra-UE uplink prioritization, the current UE behaviour as captured in MAC specification is that UE always prioritizes dynamic grant over configured grant. This does not consider the priority of the traffic, which can be carried over dynamic grant vs. the one to be sent over configured grant. The dynamic grant could be in theory used for sending URLLC traffic, but most likely it would not allow for meeting strict URLLC traffic’s delay requirements. URLLC related data will likely be subject to LCP restrictions forcing this kind of traffic to be mapped to PUSCH with a particular maximum PUSCH duration or to a specific SCS. At the moment MAC entity will only forward the configured grant to the HARQ entity in case there is no time overlapping dynamic grant received over PDCCH. Thus, additional prioritization rules for using dynamic vs. configured grant should be studied.</w:t>
      </w:r>
    </w:p>
    <w:p w14:paraId="19C01D80" w14:textId="717FF7A6" w:rsidR="004F2555" w:rsidRDefault="4E4B92F2" w:rsidP="4E4B92F2">
      <w:pPr>
        <w:pStyle w:val="NO"/>
        <w:ind w:left="0" w:firstLine="0"/>
        <w:rPr>
          <w:b/>
          <w:bCs/>
          <w:lang w:val="en-US"/>
        </w:rPr>
      </w:pPr>
      <w:r w:rsidRPr="4E4B92F2">
        <w:rPr>
          <w:b/>
          <w:bCs/>
          <w:lang w:val="en-US"/>
        </w:rPr>
        <w:t>Observation 2: Additional rules are required for prioritizing usage of configured grant over usage of dynamic grant.</w:t>
      </w:r>
    </w:p>
    <w:p w14:paraId="09156CD7" w14:textId="472B64F0" w:rsidR="003B19E6" w:rsidRDefault="4E4B92F2" w:rsidP="4E4B92F2">
      <w:pPr>
        <w:pStyle w:val="NO"/>
        <w:ind w:left="0" w:firstLine="0"/>
        <w:rPr>
          <w:lang w:val="en-US"/>
        </w:rPr>
      </w:pPr>
      <w:r w:rsidRPr="4E4B92F2">
        <w:rPr>
          <w:lang w:val="en-US"/>
        </w:rPr>
        <w:t>Two further sub-cases can be identified:</w:t>
      </w:r>
    </w:p>
    <w:p w14:paraId="019EB8AD" w14:textId="00F428A8" w:rsidR="003B19E6" w:rsidRDefault="4E4B92F2" w:rsidP="4E4B92F2">
      <w:pPr>
        <w:pStyle w:val="NO"/>
        <w:numPr>
          <w:ilvl w:val="0"/>
          <w:numId w:val="21"/>
        </w:numPr>
        <w:rPr>
          <w:lang w:val="en-US"/>
        </w:rPr>
      </w:pPr>
      <w:r w:rsidRPr="4E4B92F2">
        <w:rPr>
          <w:lang w:val="en-US"/>
        </w:rPr>
        <w:t>Higher priority data, which could be mapped to configured grant arrives in the UE before dynamic grant has been provided to the HARQ entity</w:t>
      </w:r>
    </w:p>
    <w:p w14:paraId="2BAEE20D" w14:textId="31C85913" w:rsidR="003B19E6" w:rsidRDefault="4E4B92F2" w:rsidP="4E4B92F2">
      <w:pPr>
        <w:pStyle w:val="NO"/>
        <w:numPr>
          <w:ilvl w:val="0"/>
          <w:numId w:val="21"/>
        </w:numPr>
        <w:rPr>
          <w:lang w:val="en-US"/>
        </w:rPr>
      </w:pPr>
      <w:r w:rsidRPr="4E4B92F2">
        <w:rPr>
          <w:lang w:val="en-US"/>
        </w:rPr>
        <w:t>Higher priority data, which could be mapped to configured grant arrives in the UE after dynamic grant was provided to the HARQ entity already (and thus the related PUSCH transmission has already started)</w:t>
      </w:r>
    </w:p>
    <w:p w14:paraId="6E0DEF8A" w14:textId="124C020A" w:rsidR="003B19E6" w:rsidRDefault="022CF823" w:rsidP="022CF823">
      <w:pPr>
        <w:pStyle w:val="NO"/>
        <w:ind w:left="0" w:firstLine="0"/>
        <w:rPr>
          <w:lang w:val="en-US"/>
        </w:rPr>
      </w:pPr>
      <w:r w:rsidRPr="022CF823">
        <w:rPr>
          <w:lang w:val="en-US"/>
        </w:rPr>
        <w:t xml:space="preserve">The first case could be handled within RAN2, but second one will definitely have impacts on PHY layer to specify the UE behaviour to stop the ongoing transmission and start the one related to the new grant instead. </w:t>
      </w:r>
    </w:p>
    <w:p w14:paraId="0AF8096F" w14:textId="248B2F78" w:rsidR="00CC514A" w:rsidRDefault="4E4B92F2" w:rsidP="4E4B92F2">
      <w:pPr>
        <w:pStyle w:val="NO"/>
        <w:ind w:left="0" w:firstLine="0"/>
        <w:rPr>
          <w:lang w:val="en-US"/>
        </w:rPr>
      </w:pPr>
      <w:r w:rsidRPr="4E4B92F2">
        <w:rPr>
          <w:lang w:val="en-US"/>
        </w:rPr>
        <w:t>The related use case is presented on Figure 2 for the case where configured grant overlaps in frequency with dynamic grant and on Figure 3 for the case where they do not overlap with frequency.</w:t>
      </w:r>
    </w:p>
    <w:p w14:paraId="0AA8D09C" w14:textId="77777777" w:rsidR="00CC514A" w:rsidRDefault="00CC514A" w:rsidP="00183485">
      <w:pPr>
        <w:pStyle w:val="NO"/>
        <w:ind w:left="0" w:firstLine="0"/>
        <w:rPr>
          <w:lang w:val="en-US"/>
        </w:rPr>
      </w:pPr>
    </w:p>
    <w:p w14:paraId="6C276080" w14:textId="0957A520" w:rsidR="004F2555" w:rsidRDefault="00CC514A" w:rsidP="00CC514A">
      <w:pPr>
        <w:pStyle w:val="NO"/>
        <w:ind w:left="0" w:firstLine="0"/>
        <w:jc w:val="center"/>
      </w:pPr>
      <w:r>
        <w:object w:dxaOrig="6321" w:dyaOrig="3057" w14:anchorId="259647BB">
          <v:shape id="_x0000_i1026" type="#_x0000_t75" style="width:315.55pt;height:152.75pt" o:ole="">
            <v:imagedata r:id="rId15" o:title=""/>
          </v:shape>
          <o:OLEObject Type="Embed" ProgID="Visio.Drawing.11" ShapeID="_x0000_i1026" DrawAspect="Content" ObjectID="_1599599440" r:id="rId16"/>
        </w:object>
      </w:r>
    </w:p>
    <w:p w14:paraId="026675CD" w14:textId="69008980" w:rsidR="00CC514A" w:rsidRDefault="4E4B92F2" w:rsidP="4E4B92F2">
      <w:pPr>
        <w:pStyle w:val="TF"/>
        <w:rPr>
          <w:lang w:val="en-US"/>
        </w:rPr>
      </w:pPr>
      <w:r w:rsidRPr="4E4B92F2">
        <w:rPr>
          <w:lang w:val="en-US"/>
        </w:rPr>
        <w:t>Figure 2 Configured grant overriding dynamic grant with both grants overlapping in frequency</w:t>
      </w:r>
    </w:p>
    <w:p w14:paraId="691688AE" w14:textId="7D2C7F0D" w:rsidR="00CC514A" w:rsidRDefault="008F0504" w:rsidP="00CC514A">
      <w:pPr>
        <w:pStyle w:val="NO"/>
        <w:ind w:left="0" w:firstLine="0"/>
        <w:jc w:val="center"/>
      </w:pPr>
      <w:r>
        <w:object w:dxaOrig="10537" w:dyaOrig="4042" w14:anchorId="6C9B6F57">
          <v:shape id="_x0000_i1032" type="#_x0000_t75" style="width:396.95pt;height:152.15pt" o:ole="">
            <v:imagedata r:id="rId17" o:title=""/>
          </v:shape>
          <o:OLEObject Type="Embed" ProgID="Visio.Drawing.11" ShapeID="_x0000_i1032" DrawAspect="Content" ObjectID="_1599599441" r:id="rId18"/>
        </w:object>
      </w:r>
    </w:p>
    <w:p w14:paraId="2F131793" w14:textId="75AF44C0" w:rsidR="007A7D00" w:rsidRPr="004F2555" w:rsidRDefault="4E4B92F2" w:rsidP="4E4B92F2">
      <w:pPr>
        <w:pStyle w:val="TF"/>
        <w:rPr>
          <w:lang w:val="en-US"/>
        </w:rPr>
      </w:pPr>
      <w:r w:rsidRPr="4E4B92F2">
        <w:rPr>
          <w:lang w:val="en-US"/>
        </w:rPr>
        <w:t>Figure 3 Configured grant overriding dynamic grant with grants not overlapping in frequency</w:t>
      </w:r>
    </w:p>
    <w:p w14:paraId="013629B3" w14:textId="0DE1C73B" w:rsidR="00CC514A" w:rsidRDefault="4E4B92F2" w:rsidP="4E4B92F2">
      <w:pPr>
        <w:pStyle w:val="NO"/>
        <w:ind w:left="0" w:firstLine="0"/>
        <w:rPr>
          <w:b/>
          <w:bCs/>
        </w:rPr>
      </w:pPr>
      <w:r w:rsidRPr="4E4B92F2">
        <w:rPr>
          <w:b/>
          <w:bCs/>
        </w:rPr>
        <w:t xml:space="preserve">Observation 3: RAN2 should study how to allow prioritization of higher priority traffic mapped to configured grant over the dynamic grant received earlier. </w:t>
      </w:r>
      <w:bookmarkStart w:id="2" w:name="_GoBack"/>
      <w:bookmarkEnd w:id="2"/>
    </w:p>
    <w:p w14:paraId="29A4C92C" w14:textId="4889A2EA" w:rsidR="00696A0C" w:rsidRDefault="4E4B92F2" w:rsidP="4E4B92F2">
      <w:pPr>
        <w:pStyle w:val="NO"/>
        <w:ind w:left="0" w:firstLine="0"/>
        <w:rPr>
          <w:b/>
          <w:bCs/>
        </w:rPr>
      </w:pPr>
      <w:r w:rsidRPr="4E4B92F2">
        <w:rPr>
          <w:b/>
          <w:bCs/>
        </w:rPr>
        <w:t>Observation 4: RAN1 should study how to puncture the ongoing PUSCH transmission in case PHY layer is requested to perform another PUSCH transmission overlapping in time with the ongoing one.</w:t>
      </w:r>
    </w:p>
    <w:p w14:paraId="633BBAE1" w14:textId="7226632B" w:rsidR="002558C5" w:rsidRDefault="4E4B92F2" w:rsidP="00183485">
      <w:pPr>
        <w:pStyle w:val="NO"/>
        <w:ind w:left="0" w:firstLine="0"/>
      </w:pPr>
      <w:r>
        <w:t xml:space="preserve">In some of the previous discussions it was indicated that PHY layer would require some additional information from higher layers to deal with such situations. However, it is not clear what such information should contain, e.g. it might be enough to agree that in case new PUSCH transmission is requested from PHY by MAC, then PHY always drops the ongoing one and transmits according to the new request/grant. This is an aspect RAN1 could study and provide feedback for to RAN2. </w:t>
      </w:r>
    </w:p>
    <w:p w14:paraId="45B76022" w14:textId="3F8F0B73" w:rsidR="00583F33" w:rsidRDefault="4E4B92F2" w:rsidP="4E4B92F2">
      <w:pPr>
        <w:pStyle w:val="NO"/>
        <w:ind w:left="0" w:firstLine="0"/>
        <w:rPr>
          <w:b/>
          <w:bCs/>
        </w:rPr>
      </w:pPr>
      <w:r w:rsidRPr="4E4B92F2">
        <w:rPr>
          <w:b/>
          <w:bCs/>
        </w:rPr>
        <w:t>Observation 5: RAN1 could study PHY aspects of UL intra-UE prioritization without waiting for RAN2 progress. In case additional indications are required from higher layers, RAN1 should inform RAN2 about that.</w:t>
      </w:r>
    </w:p>
    <w:p w14:paraId="6DB72147" w14:textId="3520E8EE" w:rsidR="00C13314" w:rsidRDefault="022CF823" w:rsidP="00183485">
      <w:pPr>
        <w:pStyle w:val="NO"/>
        <w:ind w:left="0" w:firstLine="0"/>
      </w:pPr>
      <w:r>
        <w:t>Similar situation to the one described above for configured grant vs. dynamic grant related transmission can occur in case URLLC is using dynamic grants. In case the grant for eMBB (e.g. with long PUSCH duration) has been previously delivered to the UE and URLLC traffic, requiring shorter PUSCH, arrives in the UE, it would be beneficial if a new UL grant was provided to the UE where URLLC traffic could fit. This scenario is depicted on Figure 4.</w:t>
      </w:r>
    </w:p>
    <w:p w14:paraId="60D94633" w14:textId="29528563" w:rsidR="001223B0" w:rsidRPr="00C13314" w:rsidRDefault="001223B0" w:rsidP="00183485">
      <w:pPr>
        <w:pStyle w:val="NO"/>
        <w:ind w:left="0" w:firstLine="0"/>
      </w:pPr>
      <w:r>
        <w:rPr>
          <w:noProof/>
        </w:rPr>
        <w:drawing>
          <wp:inline distT="0" distB="0" distL="0" distR="0" wp14:anchorId="22D92E60" wp14:editId="3B565041">
            <wp:extent cx="6096634" cy="1749425"/>
            <wp:effectExtent l="0" t="0" r="0" b="0"/>
            <wp:docPr id="38787343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096634" cy="1749425"/>
                    </a:xfrm>
                    <a:prstGeom prst="rect">
                      <a:avLst/>
                    </a:prstGeom>
                  </pic:spPr>
                </pic:pic>
              </a:graphicData>
            </a:graphic>
          </wp:inline>
        </w:drawing>
      </w:r>
    </w:p>
    <w:p w14:paraId="5F6CCB8A" w14:textId="6A22528F" w:rsidR="00CC514A" w:rsidRDefault="4E4B92F2" w:rsidP="001223B0">
      <w:pPr>
        <w:pStyle w:val="TF"/>
      </w:pPr>
      <w:r>
        <w:t>Figure 4 Later UL dynamic grant overriding previously delivered UL dynamic grant</w:t>
      </w:r>
    </w:p>
    <w:p w14:paraId="01BF3AB9" w14:textId="5A713EE3" w:rsidR="000E2D8D" w:rsidRDefault="022CF823" w:rsidP="00183485">
      <w:pPr>
        <w:pStyle w:val="NO"/>
        <w:ind w:left="0" w:firstLine="0"/>
      </w:pPr>
      <w:r>
        <w:t>However, to realize such scenario, UE would have to send Scheduling Request to request resources for URLLC. If PUCCH resource for that is available before the scheduled transmission starts, then gNB could provide a new grant to the UE, which would override the previous one. If PUCCH resource overlaps in time with the scheduled PUSCH transmission, then some priority rules would have to be specified to allow for SR to be sent instead of PUSCH.</w:t>
      </w:r>
    </w:p>
    <w:p w14:paraId="45865F95" w14:textId="48081128" w:rsidR="003F5B64" w:rsidRDefault="4E4B92F2" w:rsidP="4E4B92F2">
      <w:pPr>
        <w:pStyle w:val="NO"/>
        <w:ind w:left="0" w:firstLine="0"/>
        <w:rPr>
          <w:b/>
          <w:bCs/>
        </w:rPr>
      </w:pPr>
      <w:r w:rsidRPr="4E4B92F2">
        <w:rPr>
          <w:b/>
          <w:bCs/>
        </w:rPr>
        <w:t>Observation 6: RAN2 should study how SR related to high priority traffic can be prioritized over PUSCH transmission for lower priority traffic.</w:t>
      </w:r>
    </w:p>
    <w:p w14:paraId="7886F5C8" w14:textId="78C1C15B" w:rsidR="00A918B7" w:rsidRDefault="022CF823" w:rsidP="00183485">
      <w:pPr>
        <w:pStyle w:val="NO"/>
        <w:ind w:left="0" w:firstLine="0"/>
      </w:pPr>
      <w:r>
        <w:t>Another aspect related to intra-UE prioritization in uplink is prioritization between control data related to URLLC (e.g. HARQ-ACK) over transmissions related to eMBB. Such aspect could be studied in RAN1 without waiting for RAN2 progress.</w:t>
      </w:r>
    </w:p>
    <w:p w14:paraId="3C23AFB4" w14:textId="7C427BB7" w:rsidR="00520B1A" w:rsidRPr="00520B1A" w:rsidRDefault="4E4B92F2" w:rsidP="4E4B92F2">
      <w:pPr>
        <w:pStyle w:val="NO"/>
        <w:ind w:left="0" w:firstLine="0"/>
        <w:rPr>
          <w:b/>
          <w:bCs/>
        </w:rPr>
      </w:pPr>
      <w:r w:rsidRPr="4E4B92F2">
        <w:rPr>
          <w:b/>
          <w:bCs/>
        </w:rPr>
        <w:lastRenderedPageBreak/>
        <w:t>Observation 7: RAN1 can study PHY layer control data prioritization for URLLC over other transmissions without waiting for RAN2 progress.</w:t>
      </w:r>
    </w:p>
    <w:p w14:paraId="5FF0E443" w14:textId="5A9A547F" w:rsidR="00CD4C7B" w:rsidRPr="00CB5EE9" w:rsidRDefault="000E2D8D" w:rsidP="4E4B92F2">
      <w:pPr>
        <w:pStyle w:val="Heading1"/>
        <w:rPr>
          <w:lang w:val="en-US"/>
        </w:rPr>
      </w:pPr>
      <w:r>
        <w:rPr>
          <w:lang w:val="en-US"/>
        </w:rPr>
        <w:t>4</w:t>
      </w:r>
      <w:r w:rsidR="00CD4C7B" w:rsidRPr="00CB5EE9">
        <w:rPr>
          <w:lang w:val="en-US"/>
        </w:rPr>
        <w:tab/>
      </w:r>
      <w:r w:rsidR="00DC7055">
        <w:rPr>
          <w:lang w:val="en-US"/>
        </w:rPr>
        <w:t>Summary</w:t>
      </w:r>
    </w:p>
    <w:p w14:paraId="190C81D1" w14:textId="0DD63BD6" w:rsidR="00CD4C7B" w:rsidRDefault="4E4B92F2" w:rsidP="4E4B92F2">
      <w:pPr>
        <w:rPr>
          <w:lang w:val="en-US"/>
        </w:rPr>
      </w:pPr>
      <w:r w:rsidRPr="4E4B92F2">
        <w:rPr>
          <w:lang w:val="en-US"/>
        </w:rPr>
        <w:t>The paper describes the scenarios related to intra UE prioritization of traffic for both downlink and uplink. Based on the discussion above, it is proposed to study the following scenarios:</w:t>
      </w:r>
    </w:p>
    <w:p w14:paraId="6EC243CD" w14:textId="59631FBB" w:rsidR="00235970" w:rsidRDefault="4E4B92F2" w:rsidP="4E4B92F2">
      <w:pPr>
        <w:pStyle w:val="ListParagraph"/>
        <w:numPr>
          <w:ilvl w:val="0"/>
          <w:numId w:val="23"/>
        </w:numPr>
        <w:rPr>
          <w:lang w:val="en-US"/>
        </w:rPr>
      </w:pPr>
      <w:r w:rsidRPr="4E4B92F2">
        <w:rPr>
          <w:lang w:val="en-US"/>
        </w:rPr>
        <w:t>DL pre-emption for intra-UE DL prioritization.</w:t>
      </w:r>
    </w:p>
    <w:p w14:paraId="4AC51ECD" w14:textId="568584FE" w:rsidR="00235970" w:rsidRDefault="4E4B92F2" w:rsidP="4E4B92F2">
      <w:pPr>
        <w:pStyle w:val="ListParagraph"/>
        <w:numPr>
          <w:ilvl w:val="0"/>
          <w:numId w:val="23"/>
        </w:numPr>
        <w:rPr>
          <w:lang w:val="en-US"/>
        </w:rPr>
      </w:pPr>
      <w:r w:rsidRPr="4E4B92F2">
        <w:rPr>
          <w:lang w:val="en-US"/>
        </w:rPr>
        <w:t xml:space="preserve">Prioritization of higher priority transmission with Configured Grant over the lower priority transmission with dynamic grant provided earlier. </w:t>
      </w:r>
    </w:p>
    <w:p w14:paraId="79769EFF" w14:textId="4B65B75A" w:rsidR="00235970" w:rsidRDefault="4E4B92F2" w:rsidP="4E4B92F2">
      <w:pPr>
        <w:pStyle w:val="ListParagraph"/>
        <w:numPr>
          <w:ilvl w:val="0"/>
          <w:numId w:val="23"/>
        </w:numPr>
        <w:rPr>
          <w:lang w:val="en-US"/>
        </w:rPr>
      </w:pPr>
      <w:r w:rsidRPr="4E4B92F2">
        <w:rPr>
          <w:lang w:val="en-US"/>
        </w:rPr>
        <w:t>Prioritization of higher priority transmission with dynamic grant over the lower priority transmission with dynamic grant provided earlier.</w:t>
      </w:r>
    </w:p>
    <w:p w14:paraId="1837C65F" w14:textId="20103560" w:rsidR="005326DB" w:rsidRDefault="4E4B92F2" w:rsidP="4E4B92F2">
      <w:pPr>
        <w:pStyle w:val="ListParagraph"/>
        <w:numPr>
          <w:ilvl w:val="0"/>
          <w:numId w:val="23"/>
        </w:numPr>
        <w:rPr>
          <w:lang w:val="en-US"/>
        </w:rPr>
      </w:pPr>
      <w:r w:rsidRPr="4E4B92F2">
        <w:rPr>
          <w:lang w:val="en-US"/>
        </w:rPr>
        <w:t>Prioritization of control data related to URLLC transmissions over other transmissions.</w:t>
      </w:r>
    </w:p>
    <w:p w14:paraId="28DC6F1B" w14:textId="3461C937" w:rsidR="00F9408D" w:rsidRDefault="4E4B92F2" w:rsidP="4E4B92F2">
      <w:pPr>
        <w:rPr>
          <w:lang w:val="en-US"/>
        </w:rPr>
      </w:pPr>
      <w:r w:rsidRPr="4E4B92F2">
        <w:rPr>
          <w:lang w:val="en-US"/>
        </w:rPr>
        <w:t>It is also noted that there are items where RAN1 involvement will be required and where the work in RAN1 can start can be triggered without waiting for further RAN2 input:</w:t>
      </w:r>
    </w:p>
    <w:p w14:paraId="26711C99" w14:textId="56484B8B" w:rsidR="00F9408D" w:rsidRDefault="4E4B92F2" w:rsidP="4E4B92F2">
      <w:pPr>
        <w:pStyle w:val="ListParagraph"/>
        <w:numPr>
          <w:ilvl w:val="0"/>
          <w:numId w:val="24"/>
        </w:numPr>
        <w:rPr>
          <w:lang w:val="en-US"/>
        </w:rPr>
      </w:pPr>
      <w:r w:rsidRPr="4E4B92F2">
        <w:rPr>
          <w:lang w:val="en-US"/>
        </w:rPr>
        <w:t>DL pre-emption for intra-UE DL prioritization.</w:t>
      </w:r>
    </w:p>
    <w:p w14:paraId="5E6CDF40" w14:textId="4BCC8A31" w:rsidR="005C6DC3" w:rsidRDefault="4E4B92F2" w:rsidP="4E4B92F2">
      <w:pPr>
        <w:pStyle w:val="ListParagraph"/>
        <w:numPr>
          <w:ilvl w:val="0"/>
          <w:numId w:val="24"/>
        </w:numPr>
        <w:rPr>
          <w:lang w:val="en-US"/>
        </w:rPr>
      </w:pPr>
      <w:r w:rsidRPr="4E4B92F2">
        <w:rPr>
          <w:lang w:val="en-US"/>
        </w:rPr>
        <w:t>Puncturing of the ongoing PUSCH transmission in case PHY layer is requested to perform another PUSCH transmission overlapping in time with the ongoing one.</w:t>
      </w:r>
    </w:p>
    <w:p w14:paraId="675D323A" w14:textId="0458D194" w:rsidR="00F9408D" w:rsidRDefault="4E4B92F2" w:rsidP="4E4B92F2">
      <w:pPr>
        <w:pStyle w:val="ListParagraph"/>
        <w:numPr>
          <w:ilvl w:val="0"/>
          <w:numId w:val="24"/>
        </w:numPr>
        <w:rPr>
          <w:lang w:val="en-US"/>
        </w:rPr>
      </w:pPr>
      <w:r w:rsidRPr="4E4B92F2">
        <w:rPr>
          <w:lang w:val="en-US"/>
        </w:rPr>
        <w:t>Prioritization of control data related to URLLC transmissions over other transmissions.</w:t>
      </w:r>
    </w:p>
    <w:p w14:paraId="2E86EB77" w14:textId="40F95649" w:rsidR="00F9408D" w:rsidRPr="00EA223F" w:rsidRDefault="4E4B92F2" w:rsidP="4E4B92F2">
      <w:pPr>
        <w:rPr>
          <w:b/>
          <w:bCs/>
          <w:lang w:val="en-US"/>
        </w:rPr>
      </w:pPr>
      <w:r w:rsidRPr="4E4B92F2">
        <w:rPr>
          <w:b/>
          <w:bCs/>
          <w:lang w:val="en-US"/>
        </w:rPr>
        <w:t>Proposal: RAN2 is requested to agree on the scenarios to be studied as outlined in the document and agree on the proposed work split between RAN2 and RAN1.</w:t>
      </w:r>
    </w:p>
    <w:p w14:paraId="0FDCFAC2" w14:textId="77777777" w:rsidR="00CD4C7B" w:rsidRPr="00CB5EE9" w:rsidRDefault="4E4B92F2" w:rsidP="4E4B92F2">
      <w:pPr>
        <w:pStyle w:val="Heading1"/>
        <w:rPr>
          <w:lang w:val="en-US"/>
        </w:rPr>
      </w:pPr>
      <w:r w:rsidRPr="4E4B92F2">
        <w:rPr>
          <w:lang w:val="en-US"/>
        </w:rPr>
        <w:t>References</w:t>
      </w:r>
    </w:p>
    <w:p w14:paraId="027C6F99" w14:textId="1C85E918" w:rsidR="00CE159E" w:rsidRPr="006C7C10" w:rsidRDefault="4E4B92F2" w:rsidP="4E4B92F2">
      <w:pPr>
        <w:numPr>
          <w:ilvl w:val="0"/>
          <w:numId w:val="4"/>
        </w:numPr>
        <w:overflowPunct w:val="0"/>
        <w:autoSpaceDE w:val="0"/>
        <w:autoSpaceDN w:val="0"/>
        <w:adjustRightInd w:val="0"/>
        <w:textAlignment w:val="baseline"/>
        <w:rPr>
          <w:lang w:val="en-US"/>
        </w:rPr>
      </w:pPr>
      <w:bookmarkStart w:id="3" w:name="_Ref75086397"/>
      <w:r w:rsidRPr="4E4B92F2">
        <w:rPr>
          <w:lang w:val="en-US"/>
        </w:rPr>
        <w:t xml:space="preserve">RP-182090, </w:t>
      </w:r>
      <w:r w:rsidRPr="4E4B92F2">
        <w:rPr>
          <w:i/>
          <w:iCs/>
          <w:lang w:val="en-US"/>
        </w:rPr>
        <w:t>Revised SID: Study on NR Industrial Internet of Things (IoT)</w:t>
      </w:r>
      <w:r w:rsidRPr="4E4B92F2">
        <w:rPr>
          <w:lang w:val="en-US"/>
        </w:rPr>
        <w:t>, Nokia, Nokia Shanghai Bell</w:t>
      </w:r>
    </w:p>
    <w:bookmarkEnd w:id="3"/>
    <w:p w14:paraId="35F222F4" w14:textId="77777777" w:rsidR="00080512" w:rsidRPr="00CB5EE9" w:rsidRDefault="00080512" w:rsidP="00CD4C7B">
      <w:pPr>
        <w:rPr>
          <w:lang w:val="en-US"/>
        </w:rPr>
      </w:pPr>
    </w:p>
    <w:sectPr w:rsidR="00080512" w:rsidRPr="00CB5EE9" w:rsidSect="005D02EE">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9CFACB" w14:textId="77777777" w:rsidR="008F0504" w:rsidRDefault="008F0504">
      <w:r>
        <w:separator/>
      </w:r>
    </w:p>
  </w:endnote>
  <w:endnote w:type="continuationSeparator" w:id="0">
    <w:p w14:paraId="1AA0EA87" w14:textId="77777777" w:rsidR="008F0504" w:rsidRDefault="008F0504">
      <w:r>
        <w:continuationSeparator/>
      </w:r>
    </w:p>
  </w:endnote>
  <w:endnote w:type="continuationNotice" w:id="1">
    <w:p w14:paraId="265A1F4D" w14:textId="77777777" w:rsidR="000268FC" w:rsidRDefault="000268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altName w:val="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8F0504" w:rsidRDefault="008F05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8F0504" w:rsidRDefault="008F05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8F0504" w:rsidRDefault="008F05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5104F" w14:textId="77777777" w:rsidR="008F0504" w:rsidRDefault="008F0504">
      <w:r>
        <w:separator/>
      </w:r>
    </w:p>
  </w:footnote>
  <w:footnote w:type="continuationSeparator" w:id="0">
    <w:p w14:paraId="3E18E0A7" w14:textId="77777777" w:rsidR="008F0504" w:rsidRDefault="008F0504">
      <w:r>
        <w:continuationSeparator/>
      </w:r>
    </w:p>
  </w:footnote>
  <w:footnote w:type="continuationNotice" w:id="1">
    <w:p w14:paraId="5169E8B7" w14:textId="77777777" w:rsidR="000268FC" w:rsidRDefault="000268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8F0504" w:rsidRDefault="008F05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8F0504" w:rsidRDefault="008F05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8F0504" w:rsidRDefault="008F05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C3612D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2A74613"/>
    <w:multiLevelType w:val="hybridMultilevel"/>
    <w:tmpl w:val="16B0C6C8"/>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C33FD0"/>
    <w:multiLevelType w:val="hybridMultilevel"/>
    <w:tmpl w:val="FF7A8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C9192E"/>
    <w:multiLevelType w:val="hybridMultilevel"/>
    <w:tmpl w:val="83049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E2066F"/>
    <w:multiLevelType w:val="hybridMultilevel"/>
    <w:tmpl w:val="14C8C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022AA9"/>
    <w:multiLevelType w:val="hybridMultilevel"/>
    <w:tmpl w:val="8DE297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E913649"/>
    <w:multiLevelType w:val="hybridMultilevel"/>
    <w:tmpl w:val="7834EB9E"/>
    <w:lvl w:ilvl="0" w:tplc="08090001">
      <w:start w:val="1"/>
      <w:numFmt w:val="bullet"/>
      <w:lvlText w:val=""/>
      <w:lvlJc w:val="left"/>
      <w:pPr>
        <w:ind w:left="720" w:hanging="360"/>
      </w:pPr>
      <w:rPr>
        <w:rFonts w:ascii="Symbol" w:hAnsi="Symbol" w:hint="default"/>
      </w:rPr>
    </w:lvl>
    <w:lvl w:ilvl="1" w:tplc="C7A6AD70">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4055E2"/>
    <w:multiLevelType w:val="hybridMultilevel"/>
    <w:tmpl w:val="0ACA2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F66C8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EE6108B"/>
    <w:multiLevelType w:val="hybridMultilevel"/>
    <w:tmpl w:val="8CD2F2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F8605E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08C455A"/>
    <w:multiLevelType w:val="hybridMultilevel"/>
    <w:tmpl w:val="8C84067C"/>
    <w:lvl w:ilvl="0" w:tplc="08090001">
      <w:start w:val="1"/>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426982"/>
    <w:multiLevelType w:val="hybridMultilevel"/>
    <w:tmpl w:val="EFDA1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C6256C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333070"/>
    <w:multiLevelType w:val="hybridMultilevel"/>
    <w:tmpl w:val="CF127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09B2CC7"/>
    <w:multiLevelType w:val="hybridMultilevel"/>
    <w:tmpl w:val="17800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C5F0B53"/>
    <w:multiLevelType w:val="hybridMultilevel"/>
    <w:tmpl w:val="61AA5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2"/>
  </w:num>
  <w:num w:numId="6">
    <w:abstractNumId w:val="13"/>
  </w:num>
  <w:num w:numId="7">
    <w:abstractNumId w:val="14"/>
  </w:num>
  <w:num w:numId="8">
    <w:abstractNumId w:val="21"/>
  </w:num>
  <w:num w:numId="9">
    <w:abstractNumId w:val="11"/>
  </w:num>
  <w:num w:numId="10">
    <w:abstractNumId w:val="18"/>
  </w:num>
  <w:num w:numId="11">
    <w:abstractNumId w:val="5"/>
  </w:num>
  <w:num w:numId="12">
    <w:abstractNumId w:val="10"/>
  </w:num>
  <w:num w:numId="13">
    <w:abstractNumId w:val="15"/>
  </w:num>
  <w:num w:numId="14">
    <w:abstractNumId w:val="6"/>
  </w:num>
  <w:num w:numId="15">
    <w:abstractNumId w:val="20"/>
  </w:num>
  <w:num w:numId="16">
    <w:abstractNumId w:val="9"/>
  </w:num>
  <w:num w:numId="17">
    <w:abstractNumId w:val="16"/>
  </w:num>
  <w:num w:numId="18">
    <w:abstractNumId w:val="22"/>
  </w:num>
  <w:num w:numId="19">
    <w:abstractNumId w:val="19"/>
  </w:num>
  <w:num w:numId="20">
    <w:abstractNumId w:val="7"/>
  </w:num>
  <w:num w:numId="21">
    <w:abstractNumId w:val="4"/>
  </w:num>
  <w:num w:numId="22">
    <w:abstractNumId w:val="8"/>
  </w:num>
  <w:num w:numId="23">
    <w:abstractNumId w:val="3"/>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68FC"/>
    <w:rsid w:val="00033397"/>
    <w:rsid w:val="00040095"/>
    <w:rsid w:val="00080512"/>
    <w:rsid w:val="00084D1B"/>
    <w:rsid w:val="00090468"/>
    <w:rsid w:val="000B7BCF"/>
    <w:rsid w:val="000C522B"/>
    <w:rsid w:val="000D01F2"/>
    <w:rsid w:val="000D58AB"/>
    <w:rsid w:val="000E2D8D"/>
    <w:rsid w:val="00112F1A"/>
    <w:rsid w:val="001223B0"/>
    <w:rsid w:val="00145075"/>
    <w:rsid w:val="001741A0"/>
    <w:rsid w:val="00175FA0"/>
    <w:rsid w:val="00183485"/>
    <w:rsid w:val="001862D5"/>
    <w:rsid w:val="00194CD0"/>
    <w:rsid w:val="001B387E"/>
    <w:rsid w:val="001B49C9"/>
    <w:rsid w:val="001C4F79"/>
    <w:rsid w:val="001D2E7E"/>
    <w:rsid w:val="001F168B"/>
    <w:rsid w:val="001F5C04"/>
    <w:rsid w:val="001F7831"/>
    <w:rsid w:val="00204045"/>
    <w:rsid w:val="0020712B"/>
    <w:rsid w:val="0022606D"/>
    <w:rsid w:val="00231728"/>
    <w:rsid w:val="00235970"/>
    <w:rsid w:val="002558C5"/>
    <w:rsid w:val="002610D8"/>
    <w:rsid w:val="002740E5"/>
    <w:rsid w:val="002747EC"/>
    <w:rsid w:val="00275A84"/>
    <w:rsid w:val="002855BF"/>
    <w:rsid w:val="002A1C94"/>
    <w:rsid w:val="002E40B7"/>
    <w:rsid w:val="002F0D22"/>
    <w:rsid w:val="003172DC"/>
    <w:rsid w:val="00325AE3"/>
    <w:rsid w:val="00326069"/>
    <w:rsid w:val="00326331"/>
    <w:rsid w:val="0035462D"/>
    <w:rsid w:val="00360FCB"/>
    <w:rsid w:val="00364B41"/>
    <w:rsid w:val="00377DCA"/>
    <w:rsid w:val="003A1A00"/>
    <w:rsid w:val="003A41EF"/>
    <w:rsid w:val="003B19E6"/>
    <w:rsid w:val="003B40AD"/>
    <w:rsid w:val="003C4E37"/>
    <w:rsid w:val="003E16BE"/>
    <w:rsid w:val="003E214D"/>
    <w:rsid w:val="003E4202"/>
    <w:rsid w:val="003F4E28"/>
    <w:rsid w:val="003F5B64"/>
    <w:rsid w:val="004006E8"/>
    <w:rsid w:val="00401855"/>
    <w:rsid w:val="00416B02"/>
    <w:rsid w:val="00464882"/>
    <w:rsid w:val="00477455"/>
    <w:rsid w:val="00485609"/>
    <w:rsid w:val="004864D8"/>
    <w:rsid w:val="00492AB6"/>
    <w:rsid w:val="00496531"/>
    <w:rsid w:val="004A1F7B"/>
    <w:rsid w:val="004C44D2"/>
    <w:rsid w:val="004D2884"/>
    <w:rsid w:val="004D3578"/>
    <w:rsid w:val="004D380D"/>
    <w:rsid w:val="004E213A"/>
    <w:rsid w:val="004F2555"/>
    <w:rsid w:val="00503171"/>
    <w:rsid w:val="00506C28"/>
    <w:rsid w:val="0051438F"/>
    <w:rsid w:val="00520B1A"/>
    <w:rsid w:val="005215D5"/>
    <w:rsid w:val="00523B01"/>
    <w:rsid w:val="005326DB"/>
    <w:rsid w:val="00534DA0"/>
    <w:rsid w:val="00543E6C"/>
    <w:rsid w:val="00554187"/>
    <w:rsid w:val="00565087"/>
    <w:rsid w:val="0056573F"/>
    <w:rsid w:val="00583F33"/>
    <w:rsid w:val="005B5C01"/>
    <w:rsid w:val="005C6DC3"/>
    <w:rsid w:val="005D02EE"/>
    <w:rsid w:val="005F253A"/>
    <w:rsid w:val="00611566"/>
    <w:rsid w:val="00613EA6"/>
    <w:rsid w:val="00635D8F"/>
    <w:rsid w:val="00637234"/>
    <w:rsid w:val="00646D99"/>
    <w:rsid w:val="00656910"/>
    <w:rsid w:val="00665BE2"/>
    <w:rsid w:val="00696A0C"/>
    <w:rsid w:val="006A26C9"/>
    <w:rsid w:val="006A40DE"/>
    <w:rsid w:val="006A6C4D"/>
    <w:rsid w:val="006A6EB7"/>
    <w:rsid w:val="006A741D"/>
    <w:rsid w:val="006B2247"/>
    <w:rsid w:val="006C66D8"/>
    <w:rsid w:val="006C7C10"/>
    <w:rsid w:val="006D1E24"/>
    <w:rsid w:val="006E1417"/>
    <w:rsid w:val="006F6A2C"/>
    <w:rsid w:val="00710201"/>
    <w:rsid w:val="00732567"/>
    <w:rsid w:val="007342B5"/>
    <w:rsid w:val="00734A5B"/>
    <w:rsid w:val="00744E76"/>
    <w:rsid w:val="00757D40"/>
    <w:rsid w:val="00766569"/>
    <w:rsid w:val="00781F0F"/>
    <w:rsid w:val="0078727C"/>
    <w:rsid w:val="0079049D"/>
    <w:rsid w:val="00793DC5"/>
    <w:rsid w:val="007A7D00"/>
    <w:rsid w:val="007B16F9"/>
    <w:rsid w:val="007B18D8"/>
    <w:rsid w:val="007C095F"/>
    <w:rsid w:val="007C0FE2"/>
    <w:rsid w:val="007C2DD0"/>
    <w:rsid w:val="007C4D1B"/>
    <w:rsid w:val="007D12D8"/>
    <w:rsid w:val="007D18CA"/>
    <w:rsid w:val="007F2534"/>
    <w:rsid w:val="008028A4"/>
    <w:rsid w:val="00813245"/>
    <w:rsid w:val="0082730F"/>
    <w:rsid w:val="008751E5"/>
    <w:rsid w:val="008768CA"/>
    <w:rsid w:val="00877EF9"/>
    <w:rsid w:val="00880559"/>
    <w:rsid w:val="008837E3"/>
    <w:rsid w:val="008A7DA6"/>
    <w:rsid w:val="008B1041"/>
    <w:rsid w:val="008B5306"/>
    <w:rsid w:val="008D2E4D"/>
    <w:rsid w:val="008E5536"/>
    <w:rsid w:val="008F0504"/>
    <w:rsid w:val="008F396F"/>
    <w:rsid w:val="0090271F"/>
    <w:rsid w:val="00902DB9"/>
    <w:rsid w:val="0090466A"/>
    <w:rsid w:val="00926F15"/>
    <w:rsid w:val="00936071"/>
    <w:rsid w:val="00940212"/>
    <w:rsid w:val="00942EC2"/>
    <w:rsid w:val="00946EC0"/>
    <w:rsid w:val="00961B32"/>
    <w:rsid w:val="00970DB3"/>
    <w:rsid w:val="00974BB0"/>
    <w:rsid w:val="00977217"/>
    <w:rsid w:val="00983B3A"/>
    <w:rsid w:val="009A0AF3"/>
    <w:rsid w:val="009A3FFF"/>
    <w:rsid w:val="009B07CD"/>
    <w:rsid w:val="009C19E9"/>
    <w:rsid w:val="009D74A6"/>
    <w:rsid w:val="00A03BFC"/>
    <w:rsid w:val="00A10F02"/>
    <w:rsid w:val="00A13659"/>
    <w:rsid w:val="00A204CA"/>
    <w:rsid w:val="00A53724"/>
    <w:rsid w:val="00A640C7"/>
    <w:rsid w:val="00A77630"/>
    <w:rsid w:val="00A82346"/>
    <w:rsid w:val="00A918B7"/>
    <w:rsid w:val="00A929C0"/>
    <w:rsid w:val="00A9671C"/>
    <w:rsid w:val="00AA1553"/>
    <w:rsid w:val="00AA6F5F"/>
    <w:rsid w:val="00AD0184"/>
    <w:rsid w:val="00AE3B82"/>
    <w:rsid w:val="00AF2974"/>
    <w:rsid w:val="00B05962"/>
    <w:rsid w:val="00B15449"/>
    <w:rsid w:val="00B154AD"/>
    <w:rsid w:val="00B27303"/>
    <w:rsid w:val="00B47FD1"/>
    <w:rsid w:val="00B516BB"/>
    <w:rsid w:val="00B92BDF"/>
    <w:rsid w:val="00BC3555"/>
    <w:rsid w:val="00BC70CB"/>
    <w:rsid w:val="00BE2BE8"/>
    <w:rsid w:val="00C12B51"/>
    <w:rsid w:val="00C13314"/>
    <w:rsid w:val="00C24650"/>
    <w:rsid w:val="00C33079"/>
    <w:rsid w:val="00C50C9F"/>
    <w:rsid w:val="00C65D12"/>
    <w:rsid w:val="00C663CC"/>
    <w:rsid w:val="00C83A13"/>
    <w:rsid w:val="00C9068C"/>
    <w:rsid w:val="00C92967"/>
    <w:rsid w:val="00C947CC"/>
    <w:rsid w:val="00C96F6D"/>
    <w:rsid w:val="00CA3D0C"/>
    <w:rsid w:val="00CA497D"/>
    <w:rsid w:val="00CA654B"/>
    <w:rsid w:val="00CB5EE9"/>
    <w:rsid w:val="00CC514A"/>
    <w:rsid w:val="00CD4C7B"/>
    <w:rsid w:val="00CE159E"/>
    <w:rsid w:val="00D27CB9"/>
    <w:rsid w:val="00D33BE3"/>
    <w:rsid w:val="00D3792D"/>
    <w:rsid w:val="00D518D7"/>
    <w:rsid w:val="00D55E47"/>
    <w:rsid w:val="00D62E19"/>
    <w:rsid w:val="00D67CD1"/>
    <w:rsid w:val="00D738D6"/>
    <w:rsid w:val="00D80795"/>
    <w:rsid w:val="00D854BE"/>
    <w:rsid w:val="00D87E00"/>
    <w:rsid w:val="00D9134D"/>
    <w:rsid w:val="00D91C8B"/>
    <w:rsid w:val="00D96D11"/>
    <w:rsid w:val="00DA7A03"/>
    <w:rsid w:val="00DB0DB8"/>
    <w:rsid w:val="00DB1818"/>
    <w:rsid w:val="00DB6162"/>
    <w:rsid w:val="00DC309B"/>
    <w:rsid w:val="00DC4DA2"/>
    <w:rsid w:val="00DC5EBB"/>
    <w:rsid w:val="00DC7055"/>
    <w:rsid w:val="00DE6D40"/>
    <w:rsid w:val="00E16FDD"/>
    <w:rsid w:val="00E471CF"/>
    <w:rsid w:val="00E62835"/>
    <w:rsid w:val="00E66E40"/>
    <w:rsid w:val="00E70307"/>
    <w:rsid w:val="00E77645"/>
    <w:rsid w:val="00E83697"/>
    <w:rsid w:val="00E87CFC"/>
    <w:rsid w:val="00E9779F"/>
    <w:rsid w:val="00EA223F"/>
    <w:rsid w:val="00EC4A25"/>
    <w:rsid w:val="00F025A2"/>
    <w:rsid w:val="00F07388"/>
    <w:rsid w:val="00F2026E"/>
    <w:rsid w:val="00F2210A"/>
    <w:rsid w:val="00F30999"/>
    <w:rsid w:val="00F37743"/>
    <w:rsid w:val="00F54A3D"/>
    <w:rsid w:val="00F54CB0"/>
    <w:rsid w:val="00F57840"/>
    <w:rsid w:val="00F5792B"/>
    <w:rsid w:val="00F648B9"/>
    <w:rsid w:val="00F653B8"/>
    <w:rsid w:val="00F71B89"/>
    <w:rsid w:val="00F7353C"/>
    <w:rsid w:val="00F75D79"/>
    <w:rsid w:val="00F76F8F"/>
    <w:rsid w:val="00F9408D"/>
    <w:rsid w:val="00F941DF"/>
    <w:rsid w:val="00FA1266"/>
    <w:rsid w:val="00FB36FA"/>
    <w:rsid w:val="00FC1192"/>
    <w:rsid w:val="00FC3570"/>
    <w:rsid w:val="00FC7453"/>
    <w:rsid w:val="00FD360B"/>
    <w:rsid w:val="00FE251B"/>
    <w:rsid w:val="00FE345F"/>
    <w:rsid w:val="022CF823"/>
    <w:rsid w:val="4E4B92F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9744DE5"/>
  <w15:chartTrackingRefBased/>
  <w15:docId w15:val="{1B08BAF0-5333-4094-993C-5DD8EF5D7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A6EB7"/>
    <w:pPr>
      <w:ind w:left="720"/>
      <w:contextualSpacing/>
    </w:pPr>
  </w:style>
  <w:style w:type="table" w:styleId="TableGrid">
    <w:name w:val="Table Grid"/>
    <w:basedOn w:val="TableNormal"/>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5AIRPNAIUNRU-859666464-3844</_dlc_DocId>
    <_dlc_DocIdUrl xmlns="71c5aaf6-e6ce-465b-b873-5148d2a4c105">
      <Url>https://nokia.sharepoint.com/sites/c5g/e2earch/_layouts/15/DocIdRedir.aspx?ID=5AIRPNAIUNRU-859666464-3844</Url>
      <Description>5AIRPNAIUNRU-859666464-3844</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infopath/2007/PartnerControls"/>
    <ds:schemaRef ds:uri="a3840f4f-04be-43d1-b2ef-6ff1382503c7"/>
    <ds:schemaRef ds:uri="83f22d2f-d16e-4be6-ad4f-29fa0b067c3c"/>
    <ds:schemaRef ds:uri="http://schemas.microsoft.com/office/2006/metadata/properties"/>
    <ds:schemaRef ds:uri="http://www.w3.org/XML/1998/namespace"/>
    <ds:schemaRef ds:uri="3b34c8f0-1ef5-4d1e-bb66-517ce7fe7356"/>
    <ds:schemaRef ds:uri="http://schemas.openxmlformats.org/package/2006/metadata/core-properties"/>
    <ds:schemaRef ds:uri="http://schemas.microsoft.com/office/2006/documentManagement/types"/>
    <ds:schemaRef ds:uri="http://purl.org/dc/terms/"/>
    <ds:schemaRef ds:uri="71c5aaf6-e6ce-465b-b873-5148d2a4c105"/>
    <ds:schemaRef ds:uri="http://purl.org/dc/dcmitype/"/>
    <ds:schemaRef ds:uri="http://purl.org/dc/elements/1.1/"/>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D4E8518-B078-4628-BE97-E619FD916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4</Pages>
  <Words>1278</Words>
  <Characters>7289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8550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Dawid Koziol</dc:creator>
  <cp:keywords/>
  <dc:description/>
  <cp:lastModifiedBy>Nokia</cp:lastModifiedBy>
  <cp:revision>35</cp:revision>
  <dcterms:created xsi:type="dcterms:W3CDTF">2016-08-12T03:53:00Z</dcterms:created>
  <dcterms:modified xsi:type="dcterms:W3CDTF">2018-09-27T22:22:00Z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b9602a74-a430-4ea1-b84f-4f6899a43bc7</vt:lpwstr>
  </property>
</Properties>
</file>